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ind w:firstLine="0"/>
        <w:jc w:val="center"/>
        <w:outlineLvl w:val="1"/>
        <w:rPr>
          <w:rFonts w:ascii="黑体" w:eastAsia="黑体" w:hAnsi="黑体" w:cs="宋体"/>
          <w:color w:val="333333"/>
          <w:kern w:val="0"/>
          <w:sz w:val="36"/>
          <w:szCs w:val="36"/>
          <w:lang w:val="en-US"/>
        </w:rPr>
      </w:pPr>
      <w:r w:rsidRPr="006B2FAC">
        <w:rPr>
          <w:rFonts w:ascii="黑体" w:eastAsia="黑体" w:hAnsi="黑体" w:cs="宋体" w:hint="eastAsia"/>
          <w:color w:val="333333"/>
          <w:kern w:val="0"/>
          <w:sz w:val="36"/>
          <w:szCs w:val="36"/>
          <w:lang w:val="en-US"/>
        </w:rPr>
        <w:t>深交</w:t>
      </w:r>
      <w:proofErr w:type="gramStart"/>
      <w:r w:rsidRPr="006B2FAC">
        <w:rPr>
          <w:rFonts w:ascii="黑体" w:eastAsia="黑体" w:hAnsi="黑体" w:cs="宋体" w:hint="eastAsia"/>
          <w:color w:val="333333"/>
          <w:kern w:val="0"/>
          <w:sz w:val="36"/>
          <w:szCs w:val="36"/>
          <w:lang w:val="en-US"/>
        </w:rPr>
        <w:t>所创业</w:t>
      </w:r>
      <w:proofErr w:type="gramEnd"/>
      <w:r w:rsidRPr="006B2FAC">
        <w:rPr>
          <w:rFonts w:ascii="黑体" w:eastAsia="黑体" w:hAnsi="黑体" w:cs="宋体" w:hint="eastAsia"/>
          <w:color w:val="333333"/>
          <w:kern w:val="0"/>
          <w:sz w:val="36"/>
          <w:szCs w:val="36"/>
          <w:lang w:val="en-US"/>
        </w:rPr>
        <w:t>板改革｜退市规则ABC（一）</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jc w:val="left"/>
        <w:rPr>
          <w:rFonts w:ascii="仿宋" w:hAnsi="仿宋" w:cs="宋体"/>
          <w:color w:val="333333"/>
          <w:kern w:val="0"/>
          <w:szCs w:val="30"/>
          <w:lang w:val="en-US"/>
        </w:rPr>
      </w:pP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r w:rsidRPr="006B2FAC">
        <w:rPr>
          <w:rFonts w:ascii="仿宋" w:hAnsi="仿宋" w:cs="宋体" w:hint="eastAsia"/>
          <w:color w:val="333333"/>
          <w:kern w:val="0"/>
          <w:szCs w:val="30"/>
          <w:lang w:val="en-US"/>
        </w:rPr>
        <w:t>编者按：为帮助投资者充分了解创业</w:t>
      </w:r>
      <w:proofErr w:type="gramStart"/>
      <w:r w:rsidRPr="006B2FAC">
        <w:rPr>
          <w:rFonts w:ascii="仿宋" w:hAnsi="仿宋" w:cs="宋体" w:hint="eastAsia"/>
          <w:color w:val="333333"/>
          <w:kern w:val="0"/>
          <w:szCs w:val="30"/>
          <w:lang w:val="en-US"/>
        </w:rPr>
        <w:t>板改革</w:t>
      </w:r>
      <w:proofErr w:type="gramEnd"/>
      <w:r w:rsidRPr="006B2FAC">
        <w:rPr>
          <w:rFonts w:ascii="仿宋" w:hAnsi="仿宋" w:cs="宋体" w:hint="eastAsia"/>
          <w:color w:val="333333"/>
          <w:kern w:val="0"/>
          <w:szCs w:val="30"/>
          <w:lang w:val="en-US"/>
        </w:rPr>
        <w:t>并试点注册制的相关规则，深交所投教中心特别推出创业</w:t>
      </w:r>
      <w:proofErr w:type="gramStart"/>
      <w:r w:rsidRPr="006B2FAC">
        <w:rPr>
          <w:rFonts w:ascii="仿宋" w:hAnsi="仿宋" w:cs="宋体" w:hint="eastAsia"/>
          <w:color w:val="333333"/>
          <w:kern w:val="0"/>
          <w:szCs w:val="30"/>
          <w:lang w:val="en-US"/>
        </w:rPr>
        <w:t>板改革</w:t>
      </w:r>
      <w:proofErr w:type="gramEnd"/>
      <w:r w:rsidRPr="006B2FAC">
        <w:rPr>
          <w:rFonts w:ascii="仿宋" w:hAnsi="仿宋" w:cs="宋体" w:hint="eastAsia"/>
          <w:color w:val="333333"/>
          <w:kern w:val="0"/>
          <w:szCs w:val="30"/>
          <w:lang w:val="en-US"/>
        </w:rPr>
        <w:t>系列解读文章。本文为您介绍创业板上市公司退市规则相关要求，敬请广大投资者关注。</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2"/>
        <w:jc w:val="left"/>
        <w:rPr>
          <w:rFonts w:ascii="仿宋" w:hAnsi="仿宋" w:cs="宋体"/>
          <w:color w:val="333333"/>
          <w:kern w:val="0"/>
          <w:szCs w:val="30"/>
          <w:lang w:val="en-US"/>
        </w:rPr>
      </w:pPr>
      <w:r w:rsidRPr="006B2FAC">
        <w:rPr>
          <w:rFonts w:ascii="仿宋" w:hAnsi="仿宋" w:cs="宋体" w:hint="eastAsia"/>
          <w:b/>
          <w:bCs/>
          <w:color w:val="333333"/>
          <w:kern w:val="0"/>
          <w:szCs w:val="30"/>
          <w:lang w:val="en-US"/>
        </w:rPr>
        <w:t>1.创业板公司风险警示标识包括哪些？</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r w:rsidRPr="006B2FAC">
        <w:rPr>
          <w:rFonts w:ascii="仿宋" w:hAnsi="仿宋" w:cs="宋体" w:hint="eastAsia"/>
          <w:color w:val="333333"/>
          <w:kern w:val="0"/>
          <w:szCs w:val="30"/>
          <w:lang w:val="en-US"/>
        </w:rPr>
        <w:t>创业板公司风险警示分为提示存在终止上市风险的风险警示（以下简称退</w:t>
      </w:r>
      <w:proofErr w:type="gramStart"/>
      <w:r w:rsidRPr="006B2FAC">
        <w:rPr>
          <w:rFonts w:ascii="仿宋" w:hAnsi="仿宋" w:cs="宋体" w:hint="eastAsia"/>
          <w:color w:val="333333"/>
          <w:kern w:val="0"/>
          <w:szCs w:val="30"/>
          <w:lang w:val="en-US"/>
        </w:rPr>
        <w:t>市风险</w:t>
      </w:r>
      <w:proofErr w:type="gramEnd"/>
      <w:r w:rsidRPr="006B2FAC">
        <w:rPr>
          <w:rFonts w:ascii="仿宋" w:hAnsi="仿宋" w:cs="宋体" w:hint="eastAsia"/>
          <w:color w:val="333333"/>
          <w:kern w:val="0"/>
          <w:szCs w:val="30"/>
          <w:lang w:val="en-US"/>
        </w:rPr>
        <w:t>警示）和提示存在其他异常风险和状况的其他风险警示。</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r w:rsidRPr="006B2FAC">
        <w:rPr>
          <w:rFonts w:ascii="仿宋" w:hAnsi="仿宋" w:cs="宋体" w:hint="eastAsia"/>
          <w:color w:val="333333"/>
          <w:kern w:val="0"/>
          <w:szCs w:val="30"/>
          <w:lang w:val="en-US"/>
        </w:rPr>
        <w:t>上市公司股票交易被实施退</w:t>
      </w:r>
      <w:proofErr w:type="gramStart"/>
      <w:r w:rsidRPr="006B2FAC">
        <w:rPr>
          <w:rFonts w:ascii="仿宋" w:hAnsi="仿宋" w:cs="宋体" w:hint="eastAsia"/>
          <w:color w:val="333333"/>
          <w:kern w:val="0"/>
          <w:szCs w:val="30"/>
          <w:lang w:val="en-US"/>
        </w:rPr>
        <w:t>市风险</w:t>
      </w:r>
      <w:proofErr w:type="gramEnd"/>
      <w:r w:rsidRPr="006B2FAC">
        <w:rPr>
          <w:rFonts w:ascii="仿宋" w:hAnsi="仿宋" w:cs="宋体" w:hint="eastAsia"/>
          <w:color w:val="333333"/>
          <w:kern w:val="0"/>
          <w:szCs w:val="30"/>
          <w:lang w:val="en-US"/>
        </w:rPr>
        <w:t>警示的，在股票简称前冠以“*ST”字样，被实施其他风险警示的，在股票简称前冠以“ST”字样，以区别于其他股票。公司同时存在退</w:t>
      </w:r>
      <w:proofErr w:type="gramStart"/>
      <w:r w:rsidRPr="006B2FAC">
        <w:rPr>
          <w:rFonts w:ascii="仿宋" w:hAnsi="仿宋" w:cs="宋体" w:hint="eastAsia"/>
          <w:color w:val="333333"/>
          <w:kern w:val="0"/>
          <w:szCs w:val="30"/>
          <w:lang w:val="en-US"/>
        </w:rPr>
        <w:t>市风险</w:t>
      </w:r>
      <w:proofErr w:type="gramEnd"/>
      <w:r w:rsidRPr="006B2FAC">
        <w:rPr>
          <w:rFonts w:ascii="仿宋" w:hAnsi="仿宋" w:cs="宋体" w:hint="eastAsia"/>
          <w:color w:val="333333"/>
          <w:kern w:val="0"/>
          <w:szCs w:val="30"/>
          <w:lang w:val="en-US"/>
        </w:rPr>
        <w:t>警示和其他风险警示情形的，在公司股票简称前冠以“*ST”字样。</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r w:rsidRPr="006B2FAC">
        <w:rPr>
          <w:rFonts w:ascii="仿宋" w:hAnsi="仿宋" w:cs="宋体" w:hint="eastAsia"/>
          <w:color w:val="333333"/>
          <w:kern w:val="0"/>
          <w:szCs w:val="30"/>
          <w:lang w:val="en-US"/>
        </w:rPr>
        <w:t>小贴士：关于其他风险警示的规定自2020年9月12日起实施。</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2"/>
        <w:jc w:val="left"/>
        <w:rPr>
          <w:rFonts w:ascii="仿宋" w:hAnsi="仿宋" w:cs="宋体"/>
          <w:color w:val="333333"/>
          <w:kern w:val="0"/>
          <w:szCs w:val="30"/>
          <w:lang w:val="en-US"/>
        </w:rPr>
      </w:pPr>
      <w:r w:rsidRPr="006B2FAC">
        <w:rPr>
          <w:rFonts w:ascii="仿宋" w:hAnsi="仿宋" w:cs="宋体" w:hint="eastAsia"/>
          <w:b/>
          <w:bCs/>
          <w:color w:val="333333"/>
          <w:kern w:val="0"/>
          <w:szCs w:val="30"/>
          <w:lang w:val="en-US"/>
        </w:rPr>
        <w:t>2.可能引发创业板上市公司强制退市的情形有哪些？</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r w:rsidRPr="006B2FAC">
        <w:rPr>
          <w:rFonts w:ascii="仿宋" w:hAnsi="仿宋" w:cs="宋体" w:hint="eastAsia"/>
          <w:color w:val="333333"/>
          <w:kern w:val="0"/>
          <w:szCs w:val="30"/>
          <w:lang w:val="en-US"/>
        </w:rPr>
        <w:t>可能引发上市公司强制退市的情形主要有四大类，分别是重大违法强制退市、交易类强制退市、财务类强制退市和规范类强制退市，具体标准在深交所《创业板股票上市规则》中有详细规定，投资者可登陆交易所官方网站查阅规则，了解具体退市规定。</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center"/>
        <w:rPr>
          <w:rFonts w:ascii="仿宋" w:hAnsi="仿宋" w:cs="宋体"/>
          <w:color w:val="333333"/>
          <w:kern w:val="0"/>
          <w:szCs w:val="30"/>
          <w:lang w:val="en-US"/>
        </w:rPr>
      </w:pP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2"/>
        <w:jc w:val="left"/>
        <w:rPr>
          <w:rFonts w:ascii="仿宋" w:hAnsi="仿宋" w:cs="宋体"/>
          <w:color w:val="333333"/>
          <w:kern w:val="0"/>
          <w:szCs w:val="30"/>
          <w:lang w:val="en-US"/>
        </w:rPr>
      </w:pPr>
      <w:r w:rsidRPr="006B2FAC">
        <w:rPr>
          <w:rFonts w:ascii="仿宋" w:hAnsi="仿宋" w:cs="宋体" w:hint="eastAsia"/>
          <w:b/>
          <w:bCs/>
          <w:color w:val="333333"/>
          <w:kern w:val="0"/>
          <w:szCs w:val="30"/>
          <w:lang w:val="en-US"/>
        </w:rPr>
        <w:t>3.创业板强制退市流程及交易安排是如何规定的？</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proofErr w:type="gramStart"/>
      <w:r w:rsidRPr="006B2FAC">
        <w:rPr>
          <w:rFonts w:ascii="仿宋" w:hAnsi="仿宋" w:cs="宋体" w:hint="eastAsia"/>
          <w:color w:val="333333"/>
          <w:kern w:val="0"/>
          <w:szCs w:val="30"/>
          <w:lang w:val="en-US"/>
        </w:rPr>
        <w:lastRenderedPageBreak/>
        <w:t>创业板退市</w:t>
      </w:r>
      <w:proofErr w:type="gramEnd"/>
      <w:r w:rsidRPr="006B2FAC">
        <w:rPr>
          <w:rFonts w:ascii="仿宋" w:hAnsi="仿宋" w:cs="宋体" w:hint="eastAsia"/>
          <w:color w:val="333333"/>
          <w:kern w:val="0"/>
          <w:szCs w:val="30"/>
          <w:lang w:val="en-US"/>
        </w:rPr>
        <w:t>流程已取消暂停上市、恢复上市环节。对于触及财务类、规范类、重大违法类指标的公司先予实施退</w:t>
      </w:r>
      <w:proofErr w:type="gramStart"/>
      <w:r w:rsidRPr="006B2FAC">
        <w:rPr>
          <w:rFonts w:ascii="仿宋" w:hAnsi="仿宋" w:cs="宋体" w:hint="eastAsia"/>
          <w:color w:val="333333"/>
          <w:kern w:val="0"/>
          <w:szCs w:val="30"/>
          <w:lang w:val="en-US"/>
        </w:rPr>
        <w:t>市风险</w:t>
      </w:r>
      <w:proofErr w:type="gramEnd"/>
      <w:r w:rsidRPr="006B2FAC">
        <w:rPr>
          <w:rFonts w:ascii="仿宋" w:hAnsi="仿宋" w:cs="宋体" w:hint="eastAsia"/>
          <w:color w:val="333333"/>
          <w:kern w:val="0"/>
          <w:szCs w:val="30"/>
          <w:lang w:val="en-US"/>
        </w:rPr>
        <w:t>警示（*ST），而后终止上市并进入退市整理期，触及交易类指标的公司直接予以终止上市，不实施退</w:t>
      </w:r>
      <w:proofErr w:type="gramStart"/>
      <w:r w:rsidRPr="006B2FAC">
        <w:rPr>
          <w:rFonts w:ascii="仿宋" w:hAnsi="仿宋" w:cs="宋体" w:hint="eastAsia"/>
          <w:color w:val="333333"/>
          <w:kern w:val="0"/>
          <w:szCs w:val="30"/>
          <w:lang w:val="en-US"/>
        </w:rPr>
        <w:t>市风险</w:t>
      </w:r>
      <w:proofErr w:type="gramEnd"/>
      <w:r w:rsidRPr="006B2FAC">
        <w:rPr>
          <w:rFonts w:ascii="仿宋" w:hAnsi="仿宋" w:cs="宋体" w:hint="eastAsia"/>
          <w:color w:val="333333"/>
          <w:kern w:val="0"/>
          <w:szCs w:val="30"/>
          <w:lang w:val="en-US"/>
        </w:rPr>
        <w:t>警示，也不再设置退市整理期。</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r w:rsidRPr="006B2FAC">
        <w:rPr>
          <w:rFonts w:ascii="仿宋" w:hAnsi="仿宋" w:cs="宋体" w:hint="eastAsia"/>
          <w:color w:val="333333"/>
          <w:kern w:val="0"/>
          <w:szCs w:val="30"/>
          <w:lang w:val="en-US"/>
        </w:rPr>
        <w:t>对于重大违法强制退市情形，停牌时点由知悉送达行政处罚事先告知书或者司法裁判后移至收到行政处罚决定书或者司法裁判生效，并在知悉送达行政处罚事先告知书或者司法裁判时对公司股票实施退</w:t>
      </w:r>
      <w:proofErr w:type="gramStart"/>
      <w:r w:rsidRPr="006B2FAC">
        <w:rPr>
          <w:rFonts w:ascii="仿宋" w:hAnsi="仿宋" w:cs="宋体" w:hint="eastAsia"/>
          <w:color w:val="333333"/>
          <w:kern w:val="0"/>
          <w:szCs w:val="30"/>
          <w:lang w:val="en-US"/>
        </w:rPr>
        <w:t>市风险</w:t>
      </w:r>
      <w:proofErr w:type="gramEnd"/>
      <w:r w:rsidRPr="006B2FAC">
        <w:rPr>
          <w:rFonts w:ascii="仿宋" w:hAnsi="仿宋" w:cs="宋体" w:hint="eastAsia"/>
          <w:color w:val="333333"/>
          <w:kern w:val="0"/>
          <w:szCs w:val="30"/>
          <w:lang w:val="en-US"/>
        </w:rPr>
        <w:t>警示，给予投资者更充分的交易机会并加强风险警示。</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2"/>
        <w:jc w:val="left"/>
        <w:rPr>
          <w:rFonts w:ascii="仿宋" w:hAnsi="仿宋" w:cs="宋体"/>
          <w:color w:val="333333"/>
          <w:kern w:val="0"/>
          <w:szCs w:val="30"/>
          <w:lang w:val="en-US"/>
        </w:rPr>
      </w:pPr>
      <w:r w:rsidRPr="006B2FAC">
        <w:rPr>
          <w:rFonts w:ascii="仿宋" w:hAnsi="仿宋" w:cs="宋体" w:hint="eastAsia"/>
          <w:b/>
          <w:bCs/>
          <w:color w:val="333333"/>
          <w:kern w:val="0"/>
          <w:szCs w:val="30"/>
          <w:lang w:val="en-US"/>
        </w:rPr>
        <w:t>4.创业板公司退市整理期的交易期限是如何规定的？</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r w:rsidRPr="006B2FAC">
        <w:rPr>
          <w:rFonts w:ascii="仿宋" w:hAnsi="仿宋" w:cs="宋体" w:hint="eastAsia"/>
          <w:color w:val="333333"/>
          <w:kern w:val="0"/>
          <w:szCs w:val="30"/>
          <w:lang w:val="en-US"/>
        </w:rPr>
        <w:t>退市整理期的交易期限为</w:t>
      </w:r>
      <w:r w:rsidR="00983C1B">
        <w:rPr>
          <w:rFonts w:ascii="仿宋" w:hAnsi="仿宋" w:cs="宋体" w:hint="eastAsia"/>
          <w:color w:val="333333"/>
          <w:kern w:val="0"/>
          <w:szCs w:val="30"/>
          <w:lang w:val="en-US"/>
        </w:rPr>
        <w:t>十五</w:t>
      </w:r>
      <w:r w:rsidRPr="006B2FAC">
        <w:rPr>
          <w:rFonts w:ascii="仿宋" w:hAnsi="仿宋" w:cs="宋体" w:hint="eastAsia"/>
          <w:color w:val="333333"/>
          <w:kern w:val="0"/>
          <w:szCs w:val="30"/>
          <w:lang w:val="en-US"/>
        </w:rPr>
        <w:t>个交易日。公司股票在退市整理期内全天停牌的，停牌期间</w:t>
      </w:r>
      <w:proofErr w:type="gramStart"/>
      <w:r w:rsidRPr="006B2FAC">
        <w:rPr>
          <w:rFonts w:ascii="仿宋" w:hAnsi="仿宋" w:cs="宋体" w:hint="eastAsia"/>
          <w:color w:val="333333"/>
          <w:kern w:val="0"/>
          <w:szCs w:val="30"/>
          <w:lang w:val="en-US"/>
        </w:rPr>
        <w:t>不计入退市</w:t>
      </w:r>
      <w:proofErr w:type="gramEnd"/>
      <w:r w:rsidRPr="006B2FAC">
        <w:rPr>
          <w:rFonts w:ascii="仿宋" w:hAnsi="仿宋" w:cs="宋体" w:hint="eastAsia"/>
          <w:color w:val="333333"/>
          <w:kern w:val="0"/>
          <w:szCs w:val="30"/>
          <w:lang w:val="en-US"/>
        </w:rPr>
        <w:t>整理期，但停牌天数累计不得超过五个交易日。</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r w:rsidRPr="006B2FAC">
        <w:rPr>
          <w:rFonts w:ascii="仿宋" w:hAnsi="仿宋" w:cs="宋体" w:hint="eastAsia"/>
          <w:color w:val="333333"/>
          <w:kern w:val="0"/>
          <w:szCs w:val="30"/>
          <w:lang w:val="en-US"/>
        </w:rPr>
        <w:t>公司未在累计停牌期满前申请复牌的，深交所于停牌期满后的次一交易日对公司股票复牌。</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2"/>
        <w:jc w:val="left"/>
        <w:rPr>
          <w:rFonts w:ascii="仿宋" w:hAnsi="仿宋" w:cs="宋体"/>
          <w:color w:val="333333"/>
          <w:kern w:val="0"/>
          <w:szCs w:val="30"/>
          <w:lang w:val="en-US"/>
        </w:rPr>
      </w:pPr>
      <w:r w:rsidRPr="006B2FAC">
        <w:rPr>
          <w:rFonts w:ascii="仿宋" w:hAnsi="仿宋" w:cs="宋体" w:hint="eastAsia"/>
          <w:b/>
          <w:bCs/>
          <w:color w:val="333333"/>
          <w:kern w:val="0"/>
          <w:szCs w:val="30"/>
          <w:lang w:val="en-US"/>
        </w:rPr>
        <w:t>5.创业板上市公司在退市整理期内，如何进行公告？</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r w:rsidRPr="006B2FAC">
        <w:rPr>
          <w:rFonts w:ascii="仿宋" w:hAnsi="仿宋" w:cs="宋体" w:hint="eastAsia"/>
          <w:color w:val="333333"/>
          <w:kern w:val="0"/>
          <w:szCs w:val="30"/>
          <w:lang w:val="en-US"/>
        </w:rPr>
        <w:t>创业板上市公司应当于退市整理期的第一天，发布公司股票已被深交所</w:t>
      </w:r>
      <w:proofErr w:type="gramStart"/>
      <w:r w:rsidRPr="006B2FAC">
        <w:rPr>
          <w:rFonts w:ascii="仿宋" w:hAnsi="仿宋" w:cs="宋体" w:hint="eastAsia"/>
          <w:color w:val="333333"/>
          <w:kern w:val="0"/>
          <w:szCs w:val="30"/>
          <w:lang w:val="en-US"/>
        </w:rPr>
        <w:t>作出</w:t>
      </w:r>
      <w:proofErr w:type="gramEnd"/>
      <w:r w:rsidRPr="006B2FAC">
        <w:rPr>
          <w:rFonts w:ascii="仿宋" w:hAnsi="仿宋" w:cs="宋体" w:hint="eastAsia"/>
          <w:color w:val="333333"/>
          <w:kern w:val="0"/>
          <w:szCs w:val="30"/>
          <w:lang w:val="en-US"/>
        </w:rPr>
        <w:t>终止上市决定的风险提示公告，说明公司股票进入退市整理期的起始日和终止日等事项。</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r w:rsidRPr="006B2FAC">
        <w:rPr>
          <w:rFonts w:ascii="仿宋" w:hAnsi="仿宋" w:cs="宋体" w:hint="eastAsia"/>
          <w:color w:val="333333"/>
          <w:kern w:val="0"/>
          <w:szCs w:val="30"/>
          <w:lang w:val="en-US"/>
        </w:rPr>
        <w:lastRenderedPageBreak/>
        <w:t>创业板上市公司应当在退市整理期前</w:t>
      </w:r>
      <w:r w:rsidR="00983C1B">
        <w:rPr>
          <w:rFonts w:ascii="仿宋" w:hAnsi="仿宋" w:cs="宋体" w:hint="eastAsia"/>
          <w:color w:val="333333"/>
          <w:kern w:val="0"/>
          <w:szCs w:val="30"/>
          <w:lang w:val="en-US"/>
        </w:rPr>
        <w:t>十</w:t>
      </w:r>
      <w:r w:rsidRPr="006B2FAC">
        <w:rPr>
          <w:rFonts w:ascii="仿宋" w:hAnsi="仿宋" w:cs="宋体" w:hint="eastAsia"/>
          <w:color w:val="333333"/>
          <w:kern w:val="0"/>
          <w:szCs w:val="30"/>
          <w:lang w:val="en-US"/>
        </w:rPr>
        <w:t>个交易日内，每五个交易日发布一次股票将被终止上市的风险提示公告，在最后五个交易日内每日发布一次股票将被终止上市的风险提示公告。</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2"/>
        <w:jc w:val="left"/>
        <w:rPr>
          <w:rFonts w:ascii="仿宋" w:hAnsi="仿宋" w:cs="宋体"/>
          <w:color w:val="333333"/>
          <w:kern w:val="0"/>
          <w:szCs w:val="30"/>
          <w:lang w:val="en-US"/>
        </w:rPr>
      </w:pPr>
      <w:r w:rsidRPr="006B2FAC">
        <w:rPr>
          <w:rFonts w:ascii="仿宋" w:hAnsi="仿宋" w:cs="宋体" w:hint="eastAsia"/>
          <w:b/>
          <w:bCs/>
          <w:color w:val="333333"/>
          <w:kern w:val="0"/>
          <w:szCs w:val="30"/>
          <w:lang w:val="en-US"/>
        </w:rPr>
        <w:t>6.创业板公司强制退市后，投资者是否还能转让股票？</w:t>
      </w: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r w:rsidRPr="006B2FAC">
        <w:rPr>
          <w:rFonts w:ascii="仿宋" w:hAnsi="仿宋" w:cs="宋体" w:hint="eastAsia"/>
          <w:color w:val="333333"/>
          <w:kern w:val="0"/>
          <w:szCs w:val="30"/>
          <w:lang w:val="en-US"/>
        </w:rPr>
        <w:t>创业板上市公司应当在深交所</w:t>
      </w:r>
      <w:proofErr w:type="gramStart"/>
      <w:r w:rsidRPr="006B2FAC">
        <w:rPr>
          <w:rFonts w:ascii="仿宋" w:hAnsi="仿宋" w:cs="宋体" w:hint="eastAsia"/>
          <w:color w:val="333333"/>
          <w:kern w:val="0"/>
          <w:szCs w:val="30"/>
          <w:lang w:val="en-US"/>
        </w:rPr>
        <w:t>作出</w:t>
      </w:r>
      <w:proofErr w:type="gramEnd"/>
      <w:r w:rsidRPr="006B2FAC">
        <w:rPr>
          <w:rFonts w:ascii="仿宋" w:hAnsi="仿宋" w:cs="宋体" w:hint="eastAsia"/>
          <w:color w:val="333333"/>
          <w:kern w:val="0"/>
          <w:szCs w:val="30"/>
          <w:lang w:val="en-US"/>
        </w:rPr>
        <w:t>终止其股票上市决定后，立即安排股票转入全国中小企业股份转让系统或者深交所认可的其他转让场所挂牌转让的相关事宜，保证公司股票在摘牌之日起四十五个交易日内可以挂牌转让。</w:t>
      </w:r>
      <w:bookmarkStart w:id="0" w:name="_GoBack"/>
      <w:bookmarkEnd w:id="0"/>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p>
    <w:p w:rsidR="006B2FAC" w:rsidRPr="006B2FAC" w:rsidRDefault="006B2FAC" w:rsidP="006B2F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color w:val="333333"/>
          <w:kern w:val="0"/>
          <w:szCs w:val="30"/>
          <w:lang w:val="en-US"/>
        </w:rPr>
      </w:pPr>
      <w:r w:rsidRPr="006B2FAC">
        <w:rPr>
          <w:rFonts w:ascii="仿宋" w:hAnsi="仿宋" w:cs="宋体" w:hint="eastAsia"/>
          <w:color w:val="333333"/>
          <w:kern w:val="0"/>
          <w:szCs w:val="30"/>
          <w:lang w:val="en-US"/>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p>
    <w:p w:rsidR="001876F3" w:rsidRPr="006B2FAC" w:rsidRDefault="001876F3" w:rsidP="006B2FAC">
      <w:pPr>
        <w:ind w:firstLineChars="200" w:firstLine="600"/>
        <w:rPr>
          <w:rFonts w:ascii="仿宋" w:hAnsi="仿宋"/>
          <w:szCs w:val="30"/>
        </w:rPr>
      </w:pPr>
    </w:p>
    <w:p w:rsidR="006B2FAC" w:rsidRPr="006B2FAC" w:rsidRDefault="006B2FAC" w:rsidP="006B2FAC">
      <w:pPr>
        <w:ind w:firstLineChars="200" w:firstLine="600"/>
        <w:rPr>
          <w:rFonts w:ascii="仿宋" w:hAnsi="仿宋"/>
          <w:szCs w:val="30"/>
        </w:rPr>
      </w:pPr>
    </w:p>
    <w:p w:rsidR="006B2FAC" w:rsidRPr="006B2FAC" w:rsidRDefault="006B2FAC">
      <w:pPr>
        <w:ind w:firstLineChars="200" w:firstLine="600"/>
        <w:rPr>
          <w:rFonts w:ascii="仿宋" w:hAnsi="仿宋"/>
          <w:szCs w:val="30"/>
        </w:rPr>
      </w:pPr>
    </w:p>
    <w:sectPr w:rsidR="006B2FAC" w:rsidRPr="006B2F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EA2" w:rsidRDefault="00007EA2" w:rsidP="00983C1B">
      <w:pPr>
        <w:spacing w:line="240" w:lineRule="auto"/>
      </w:pPr>
      <w:r>
        <w:separator/>
      </w:r>
    </w:p>
  </w:endnote>
  <w:endnote w:type="continuationSeparator" w:id="0">
    <w:p w:rsidR="00007EA2" w:rsidRDefault="00007EA2" w:rsidP="00983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EA2" w:rsidRDefault="00007EA2" w:rsidP="00983C1B">
      <w:pPr>
        <w:spacing w:line="240" w:lineRule="auto"/>
      </w:pPr>
      <w:r>
        <w:separator/>
      </w:r>
    </w:p>
  </w:footnote>
  <w:footnote w:type="continuationSeparator" w:id="0">
    <w:p w:rsidR="00007EA2" w:rsidRDefault="00007EA2" w:rsidP="00983C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AC"/>
    <w:rsid w:val="00007EA2"/>
    <w:rsid w:val="001876F3"/>
    <w:rsid w:val="003F396B"/>
    <w:rsid w:val="006B2FAC"/>
    <w:rsid w:val="00935D3D"/>
    <w:rsid w:val="00983C1B"/>
    <w:rsid w:val="00A30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77"/>
    <w:pPr>
      <w:pBdr>
        <w:top w:val="nil"/>
        <w:left w:val="nil"/>
        <w:bottom w:val="nil"/>
        <w:right w:val="nil"/>
        <w:between w:val="nil"/>
        <w:bar w:val="nil"/>
      </w:pBdr>
    </w:pPr>
    <w:rPr>
      <w:rFonts w:ascii="Times New Roman" w:eastAsia="仿宋" w:hAnsi="Times New Roman"/>
      <w:sz w:val="30"/>
      <w:lang w:val="en-GB"/>
    </w:rPr>
  </w:style>
  <w:style w:type="paragraph" w:styleId="2">
    <w:name w:val="heading 2"/>
    <w:basedOn w:val="a"/>
    <w:link w:val="2Char"/>
    <w:uiPriority w:val="9"/>
    <w:qFormat/>
    <w:rsid w:val="006B2F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outlineLvl w:val="1"/>
    </w:pPr>
    <w:rPr>
      <w:rFonts w:ascii="宋体" w:eastAsia="宋体" w:hAnsi="宋体" w:cs="宋体"/>
      <w:b/>
      <w:bCs/>
      <w:kern w:val="0"/>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2F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rFonts w:ascii="宋体" w:eastAsia="宋体" w:hAnsi="宋体" w:cs="宋体"/>
      <w:kern w:val="0"/>
      <w:sz w:val="24"/>
      <w:szCs w:val="24"/>
      <w:lang w:val="en-US"/>
    </w:rPr>
  </w:style>
  <w:style w:type="paragraph" w:styleId="a4">
    <w:name w:val="List Paragraph"/>
    <w:basedOn w:val="a"/>
    <w:uiPriority w:val="34"/>
    <w:qFormat/>
    <w:rsid w:val="006B2F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rFonts w:ascii="宋体" w:eastAsia="宋体" w:hAnsi="宋体" w:cs="宋体"/>
      <w:kern w:val="0"/>
      <w:sz w:val="24"/>
      <w:szCs w:val="24"/>
      <w:lang w:val="en-US"/>
    </w:rPr>
  </w:style>
  <w:style w:type="character" w:styleId="a5">
    <w:name w:val="Strong"/>
    <w:basedOn w:val="a0"/>
    <w:uiPriority w:val="22"/>
    <w:qFormat/>
    <w:rsid w:val="006B2FAC"/>
    <w:rPr>
      <w:b/>
      <w:bCs/>
    </w:rPr>
  </w:style>
  <w:style w:type="character" w:customStyle="1" w:styleId="2Char">
    <w:name w:val="标题 2 Char"/>
    <w:basedOn w:val="a0"/>
    <w:link w:val="2"/>
    <w:uiPriority w:val="9"/>
    <w:rsid w:val="006B2FAC"/>
    <w:rPr>
      <w:rFonts w:ascii="宋体" w:eastAsia="宋体" w:hAnsi="宋体" w:cs="宋体"/>
      <w:b/>
      <w:bCs/>
      <w:kern w:val="0"/>
      <w:sz w:val="36"/>
      <w:szCs w:val="36"/>
    </w:rPr>
  </w:style>
  <w:style w:type="paragraph" w:styleId="a6">
    <w:name w:val="header"/>
    <w:basedOn w:val="a"/>
    <w:link w:val="Char"/>
    <w:uiPriority w:val="99"/>
    <w:unhideWhenUsed/>
    <w:rsid w:val="00983C1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rsid w:val="00983C1B"/>
    <w:rPr>
      <w:rFonts w:ascii="Times New Roman" w:eastAsia="仿宋" w:hAnsi="Times New Roman"/>
      <w:sz w:val="18"/>
      <w:szCs w:val="18"/>
      <w:lang w:val="en-GB"/>
    </w:rPr>
  </w:style>
  <w:style w:type="paragraph" w:styleId="a7">
    <w:name w:val="footer"/>
    <w:basedOn w:val="a"/>
    <w:link w:val="Char0"/>
    <w:uiPriority w:val="99"/>
    <w:unhideWhenUsed/>
    <w:rsid w:val="00983C1B"/>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rsid w:val="00983C1B"/>
    <w:rPr>
      <w:rFonts w:ascii="Times New Roman" w:eastAsia="仿宋" w:hAnsi="Times New Roman"/>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77"/>
    <w:pPr>
      <w:pBdr>
        <w:top w:val="nil"/>
        <w:left w:val="nil"/>
        <w:bottom w:val="nil"/>
        <w:right w:val="nil"/>
        <w:between w:val="nil"/>
        <w:bar w:val="nil"/>
      </w:pBdr>
    </w:pPr>
    <w:rPr>
      <w:rFonts w:ascii="Times New Roman" w:eastAsia="仿宋" w:hAnsi="Times New Roman"/>
      <w:sz w:val="30"/>
      <w:lang w:val="en-GB"/>
    </w:rPr>
  </w:style>
  <w:style w:type="paragraph" w:styleId="2">
    <w:name w:val="heading 2"/>
    <w:basedOn w:val="a"/>
    <w:link w:val="2Char"/>
    <w:uiPriority w:val="9"/>
    <w:qFormat/>
    <w:rsid w:val="006B2F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outlineLvl w:val="1"/>
    </w:pPr>
    <w:rPr>
      <w:rFonts w:ascii="宋体" w:eastAsia="宋体" w:hAnsi="宋体" w:cs="宋体"/>
      <w:b/>
      <w:bCs/>
      <w:kern w:val="0"/>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2F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rFonts w:ascii="宋体" w:eastAsia="宋体" w:hAnsi="宋体" w:cs="宋体"/>
      <w:kern w:val="0"/>
      <w:sz w:val="24"/>
      <w:szCs w:val="24"/>
      <w:lang w:val="en-US"/>
    </w:rPr>
  </w:style>
  <w:style w:type="paragraph" w:styleId="a4">
    <w:name w:val="List Paragraph"/>
    <w:basedOn w:val="a"/>
    <w:uiPriority w:val="34"/>
    <w:qFormat/>
    <w:rsid w:val="006B2F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rFonts w:ascii="宋体" w:eastAsia="宋体" w:hAnsi="宋体" w:cs="宋体"/>
      <w:kern w:val="0"/>
      <w:sz w:val="24"/>
      <w:szCs w:val="24"/>
      <w:lang w:val="en-US"/>
    </w:rPr>
  </w:style>
  <w:style w:type="character" w:styleId="a5">
    <w:name w:val="Strong"/>
    <w:basedOn w:val="a0"/>
    <w:uiPriority w:val="22"/>
    <w:qFormat/>
    <w:rsid w:val="006B2FAC"/>
    <w:rPr>
      <w:b/>
      <w:bCs/>
    </w:rPr>
  </w:style>
  <w:style w:type="character" w:customStyle="1" w:styleId="2Char">
    <w:name w:val="标题 2 Char"/>
    <w:basedOn w:val="a0"/>
    <w:link w:val="2"/>
    <w:uiPriority w:val="9"/>
    <w:rsid w:val="006B2FAC"/>
    <w:rPr>
      <w:rFonts w:ascii="宋体" w:eastAsia="宋体" w:hAnsi="宋体" w:cs="宋体"/>
      <w:b/>
      <w:bCs/>
      <w:kern w:val="0"/>
      <w:sz w:val="36"/>
      <w:szCs w:val="36"/>
    </w:rPr>
  </w:style>
  <w:style w:type="paragraph" w:styleId="a6">
    <w:name w:val="header"/>
    <w:basedOn w:val="a"/>
    <w:link w:val="Char"/>
    <w:uiPriority w:val="99"/>
    <w:unhideWhenUsed/>
    <w:rsid w:val="00983C1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rsid w:val="00983C1B"/>
    <w:rPr>
      <w:rFonts w:ascii="Times New Roman" w:eastAsia="仿宋" w:hAnsi="Times New Roman"/>
      <w:sz w:val="18"/>
      <w:szCs w:val="18"/>
      <w:lang w:val="en-GB"/>
    </w:rPr>
  </w:style>
  <w:style w:type="paragraph" w:styleId="a7">
    <w:name w:val="footer"/>
    <w:basedOn w:val="a"/>
    <w:link w:val="Char0"/>
    <w:uiPriority w:val="99"/>
    <w:unhideWhenUsed/>
    <w:rsid w:val="00983C1B"/>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rsid w:val="00983C1B"/>
    <w:rPr>
      <w:rFonts w:ascii="Times New Roman" w:eastAsia="仿宋" w:hAnsi="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429010">
      <w:bodyDiv w:val="1"/>
      <w:marLeft w:val="0"/>
      <w:marRight w:val="0"/>
      <w:marTop w:val="0"/>
      <w:marBottom w:val="0"/>
      <w:divBdr>
        <w:top w:val="none" w:sz="0" w:space="0" w:color="auto"/>
        <w:left w:val="none" w:sz="0" w:space="0" w:color="auto"/>
        <w:bottom w:val="none" w:sz="0" w:space="0" w:color="auto"/>
        <w:right w:val="none" w:sz="0" w:space="0" w:color="auto"/>
      </w:divBdr>
    </w:div>
    <w:div w:id="210661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kdly</dc:creator>
  <cp:lastModifiedBy>克迪丽亚·艾赛提</cp:lastModifiedBy>
  <cp:revision>3</cp:revision>
  <dcterms:created xsi:type="dcterms:W3CDTF">2022-03-19T15:42:00Z</dcterms:created>
  <dcterms:modified xsi:type="dcterms:W3CDTF">2022-03-21T07:44:00Z</dcterms:modified>
</cp:coreProperties>
</file>